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烟台港客户服务承诺书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山东港口烟台港通过“服务提升”行动，烟台港口岸环境、作业效率、服务水平有了更大提升。烟台港牢固树立“安全、及时、优质、高效”的服务意识，面向社会、面向广大客户专门推出“三大承诺”，量化服务标准。</w:t>
      </w:r>
    </w:p>
    <w:p>
      <w:pPr>
        <w:ind w:firstLine="643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一、争创领先的作业效率</w:t>
      </w:r>
      <w:r>
        <w:rPr>
          <w:rFonts w:hint="eastAsia" w:ascii="仿宋_GB2312" w:hAnsi="Calibri" w:eastAsia="仿宋_GB2312"/>
          <w:kern w:val="0"/>
          <w:sz w:val="32"/>
          <w:szCs w:val="32"/>
        </w:rPr>
        <w:t>：烟台港坚持以市场需求为导向，全面提高港口作业效率和口岸服务效率，为客户降低时间和物流成本。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1.打造和谐口岸环境，与海关、海事、边检等口岸单位信息互联互通，通关时间压缩1/3，促进贸易便利化。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2.发挥40万吨级矿石专业化泊位优势，铁矿石卸率提高到昼夜15万吨，降低客户租船成本；提高30万吨级原油码头作业效率，船舶在港停时压缩两小时；管输效率提高5%。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3.铝矾土全程物流体系各节点同步提速，铝矾土CAPE船型整船卸率提高到昼夜4.5万吨，转水船舶在港停时压缩10%。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4.提高化肥作业效率，尿素装船单线效率提高到昼夜2200吨；钾肥单船装卸效率提高到昼夜6000吨，可为客户提供定制效率，定制效率达到昼夜10000吨。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5.全面提升集装箱作业效率，集装箱单机效率提高10%；提高集装箱航线准班率，客箱班轮准班率提高到90%，干线准班率提高到95%；班轮直靠率力争达到100%。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6.全面提升商品车作业效率，装卸船效率提高到180辆/小时，班轮准班率提高到95%。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7.发展木材临港产业，辐射松卸船效率3条线从昼夜6000方提高到8000方，5条线从9000方提高到12000方。</w:t>
      </w:r>
    </w:p>
    <w:p>
      <w:pPr>
        <w:ind w:firstLine="643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二、提供优质的客户服务</w:t>
      </w:r>
      <w:r>
        <w:rPr>
          <w:rFonts w:hint="eastAsia" w:ascii="仿宋_GB2312" w:hAnsi="Calibri" w:eastAsia="仿宋_GB2312"/>
          <w:kern w:val="0"/>
          <w:sz w:val="32"/>
          <w:szCs w:val="32"/>
        </w:rPr>
        <w:t>：烟台港坚持“港口产品就是服务”理念，全面优化业务流程，升级客户体验，为客户提供多元化、个性化服务，以服务成就客户。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8.提供单一窗口“一站式”服务，优化业务流程，集中办理单证、结算等港口业务；推行单证电子化，减少操作环节，各环节平均用时不超3分钟，为客户提供便捷、高效商务服务。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9.建立客户需求快速响应机制，在物流方案、延伸服务、客户投诉等方面推行“首问负责制”；物流方案订制、延伸服务需求在24小时内做出响应；客户投诉在两小时内做出首次回复，投诉办结率100%。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10.提供货物集疏港7×24小时全天候服务，散杂货集疏港15分钟内预约响应，30分钟内开始作业，衡重零待时。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11.</w:t>
      </w:r>
      <w:r>
        <w:rPr>
          <w:rFonts w:ascii="仿宋_GB2312" w:hAnsi="Calibri" w:eastAsia="仿宋_GB2312"/>
          <w:kern w:val="0"/>
          <w:sz w:val="32"/>
          <w:szCs w:val="32"/>
        </w:rPr>
        <w:t>提供矿石精确混配服务，铁硅含量标准差及偏差控制在千分之二以内，混配质量国际领先；提供原油混输增值服务，混输质量100%符合客户要求。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12.</w:t>
      </w:r>
      <w:r>
        <w:rPr>
          <w:rFonts w:ascii="仿宋_GB2312" w:hAnsi="Calibri" w:eastAsia="仿宋_GB2312"/>
          <w:kern w:val="0"/>
          <w:sz w:val="32"/>
          <w:szCs w:val="32"/>
        </w:rPr>
        <w:t>提供物流</w:t>
      </w:r>
      <w:r>
        <w:rPr>
          <w:rFonts w:hint="eastAsia" w:ascii="仿宋_GB2312" w:hAnsi="Calibri" w:eastAsia="仿宋_GB2312"/>
          <w:kern w:val="0"/>
          <w:sz w:val="32"/>
          <w:szCs w:val="32"/>
        </w:rPr>
        <w:t>、</w:t>
      </w:r>
      <w:r>
        <w:rPr>
          <w:rFonts w:ascii="仿宋_GB2312" w:hAnsi="Calibri" w:eastAsia="仿宋_GB2312"/>
          <w:kern w:val="0"/>
          <w:sz w:val="32"/>
          <w:szCs w:val="32"/>
        </w:rPr>
        <w:t>金融</w:t>
      </w:r>
      <w:r>
        <w:rPr>
          <w:rFonts w:hint="eastAsia" w:ascii="仿宋_GB2312" w:hAnsi="Calibri" w:eastAsia="仿宋_GB2312"/>
          <w:kern w:val="0"/>
          <w:sz w:val="32"/>
          <w:szCs w:val="32"/>
        </w:rPr>
        <w:t>、贸易等增值</w:t>
      </w:r>
      <w:r>
        <w:rPr>
          <w:rFonts w:ascii="仿宋_GB2312" w:hAnsi="Calibri" w:eastAsia="仿宋_GB2312"/>
          <w:kern w:val="0"/>
          <w:sz w:val="32"/>
          <w:szCs w:val="32"/>
        </w:rPr>
        <w:t>服务，满足客户</w:t>
      </w:r>
      <w:r>
        <w:rPr>
          <w:rFonts w:hint="eastAsia" w:ascii="仿宋_GB2312" w:hAnsi="Calibri" w:eastAsia="仿宋_GB2312"/>
          <w:kern w:val="0"/>
          <w:sz w:val="32"/>
          <w:szCs w:val="32"/>
        </w:rPr>
        <w:t>多元化</w:t>
      </w:r>
      <w:r>
        <w:rPr>
          <w:rFonts w:ascii="仿宋_GB2312" w:hAnsi="Calibri" w:eastAsia="仿宋_GB2312"/>
          <w:kern w:val="0"/>
          <w:sz w:val="32"/>
          <w:szCs w:val="32"/>
        </w:rPr>
        <w:t>需求。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13.升级件杂货班轮服务体验，为客户提供“保姆式”“快递式”“点餐式”服务，各物流环节作业效率提升20%。</w:t>
      </w:r>
    </w:p>
    <w:p>
      <w:pPr>
        <w:ind w:firstLine="643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三、构建和谐的营商环境</w:t>
      </w:r>
      <w:r>
        <w:rPr>
          <w:rFonts w:hint="eastAsia" w:ascii="仿宋_GB2312" w:hAnsi="Calibri" w:eastAsia="仿宋_GB2312"/>
          <w:kern w:val="0"/>
          <w:sz w:val="32"/>
          <w:szCs w:val="32"/>
        </w:rPr>
        <w:t>：为更好提供服务、满足客户多元化需求，烟台港始终努力打造公开公平公正的竞争环境和发展平台，优化港口营商环境。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14.升级“烟港易通”移动端和“物流信息网”PC端服务功能，持续提升业务线上化和单证无纸化比例。    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15.遵循市场化规则，积极维护航运、代理、理货和拖带等涉港服务市场公平竞争环境。   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16.紧密对接海关、海事、引航等口岸单位，努力为广大客户提升通关便利化、通航全天候、船舶零待时。</w:t>
      </w:r>
    </w:p>
    <w:p>
      <w:pPr>
        <w:spacing w:line="580" w:lineRule="exact"/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烟台港秉持“开放共享、合作共赢”理念，欢迎各大企业和客户融入烟台港“朋友圈”。我们设置24小时服务热线（4000085999），及时解答您的诉求，快速响应您的需求。</w:t>
      </w:r>
    </w:p>
    <w:p>
      <w:pPr>
        <w:ind w:firstLine="640" w:firstLineChars="200"/>
        <w:rPr>
          <w:rFonts w:ascii="仿宋_GB2312" w:hAnsi="Calibri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ZmJiODkyNTc2YzMwZGNkODE2ZjYxNWIzMTFlNDgifQ=="/>
  </w:docVars>
  <w:rsids>
    <w:rsidRoot w:val="5AF915B6"/>
    <w:rsid w:val="5A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2023-09-05T09:11:00Z</dcterms:created>
  <dc:creator>DELL</dc:creator>
  <cp:lastModifiedBy>DELL</cp:lastModifiedBy>
  <dcterms:modified xsi:type="dcterms:W3CDTF">2023-09-05T09:12:47Z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7FC330DEAB8D41B6A996F5A714F89309_11</vt:lpwstr>
  </property>
</Properties>
</file>